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28"/>
        <w:tblW w:w="12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92"/>
        <w:gridCol w:w="850"/>
        <w:gridCol w:w="1701"/>
        <w:gridCol w:w="1418"/>
        <w:gridCol w:w="1276"/>
        <w:gridCol w:w="1134"/>
        <w:gridCol w:w="2606"/>
      </w:tblGrid>
      <w:tr w:rsidR="000B2F3A" w:rsidRPr="00260071" w14:paraId="3B0A1A6A" w14:textId="77777777" w:rsidTr="004439B0">
        <w:trPr>
          <w:trHeight w:val="59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5C094BF7" w14:textId="21FDFFF4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DENOMINACIÓN DEL PUESTO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BB42675" w14:textId="15582A0D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VÍNCULO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9344DA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ESCALA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66935F39" w14:textId="27898F2A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SUBESCALA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3EB8F50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CLASE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89D204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EB2A1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DOTACIÓN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BB85D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sz w:val="15"/>
                <w:szCs w:val="15"/>
              </w:rPr>
              <w:t>SITUACIÓN DEL PUESTO</w:t>
            </w:r>
          </w:p>
        </w:tc>
      </w:tr>
      <w:tr w:rsidR="000B2F3A" w:rsidRPr="00260071" w14:paraId="7451C90C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CC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Gerente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0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F/L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6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AG/AE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71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Técnica/Serv.Espec.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Sup./Com.Espec.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C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E12DB6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479161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6CA205BB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09AB6E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ADMINISTRACIÓN Y SECRETARÍA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670119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252F81F4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09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de Admin. General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27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8D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E0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 xml:space="preserve">Técnica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D9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84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11F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CEE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0B2F3A" w:rsidRPr="00260071" w14:paraId="66F9C6A7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CEB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Técnico Superior/Rama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BD9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28D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8C6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882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7BF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875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118B" w14:textId="3B934704" w:rsidR="000B2F3A" w:rsidRPr="00260071" w:rsidRDefault="00207531" w:rsidP="000B2F3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0B2F3A" w:rsidRPr="00260071" w14:paraId="3A930A88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79C" w14:textId="46CC9C80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 w:rsid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179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C5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81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973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90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46AF" w14:textId="72D4FF3C" w:rsidR="000B2F3A" w:rsidRPr="00260071" w:rsidRDefault="004B35E1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854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260071" w:rsidRPr="00260071" w14:paraId="6EB61585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C4B5" w14:textId="57D1CF46" w:rsidR="00260071" w:rsidRPr="00260071" w:rsidRDefault="00260071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Administrativo de Gestión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59E" w14:textId="6F89988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1B46" w14:textId="2245E20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3436" w14:textId="34812F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9EAE" w14:textId="77777777" w:rsidR="00260071" w:rsidRPr="00260071" w:rsidRDefault="00260071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79B6" w14:textId="29030FBF" w:rsidR="00260071" w:rsidRPr="00260071" w:rsidRDefault="00260071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28BC" w14:textId="2C45CAD1" w:rsidR="00260071" w:rsidRPr="00260071" w:rsidRDefault="00C44CE9" w:rsidP="000B2F3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AA88" w14:textId="647AE58A" w:rsidR="00260071" w:rsidRPr="00260071" w:rsidRDefault="0026007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sz w:val="15"/>
                <w:szCs w:val="15"/>
              </w:rPr>
              <w:t>Ocupado</w:t>
            </w:r>
          </w:p>
        </w:tc>
      </w:tr>
      <w:tr w:rsidR="000B2F3A" w:rsidRPr="00260071" w14:paraId="11DB549A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0D7AF6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RECURSOS HIDRAÚLICOS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3301DC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37B4E7F0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5F34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DC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3C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A3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6F4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75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C82E84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AD4EC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Ocupado</w:t>
            </w:r>
          </w:p>
        </w:tc>
      </w:tr>
      <w:tr w:rsidR="000B2F3A" w:rsidRPr="00260071" w14:paraId="538E6129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B7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1F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7E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3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2746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D2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55EB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  <w:highlight w:val="yellow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39A57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60071">
              <w:rPr>
                <w:rFonts w:ascii="Arial" w:hAnsi="Arial" w:cs="Arial"/>
                <w:sz w:val="15"/>
                <w:szCs w:val="15"/>
              </w:rPr>
              <w:t>Func. Interino - Ocupado</w:t>
            </w:r>
          </w:p>
        </w:tc>
      </w:tr>
      <w:tr w:rsidR="000B2F3A" w:rsidRPr="00260071" w14:paraId="792B8298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6F1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53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67C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94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F9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80A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BF93B8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92DCC1" w14:textId="0BD28C80" w:rsidR="000B2F3A" w:rsidRPr="004B35E1" w:rsidRDefault="004B35E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B35E1">
              <w:rPr>
                <w:rFonts w:ascii="Arial" w:hAnsi="Arial" w:cs="Arial"/>
                <w:bCs/>
                <w:sz w:val="15"/>
                <w:szCs w:val="15"/>
              </w:rPr>
              <w:t>Laboral temporal - Ocupado</w:t>
            </w:r>
          </w:p>
        </w:tc>
      </w:tr>
      <w:tr w:rsidR="000B2F3A" w:rsidRPr="00260071" w14:paraId="4A17A634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E010D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FE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4F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57A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76E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F633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9B0D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1BEF6" w14:textId="77777777" w:rsidR="000B2F3A" w:rsidRPr="004B35E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B35E1">
              <w:rPr>
                <w:rFonts w:ascii="Arial" w:hAnsi="Arial" w:cs="Arial"/>
                <w:sz w:val="15"/>
                <w:szCs w:val="15"/>
              </w:rPr>
              <w:t>Vacante</w:t>
            </w:r>
          </w:p>
        </w:tc>
      </w:tr>
      <w:tr w:rsidR="000B2F3A" w:rsidRPr="00260071" w14:paraId="1F9B4B1E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237D7" w14:textId="776504BF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  <w:r w:rsidR="007200FC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338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CF2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2650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889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21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0F09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EB013D" w14:textId="41F38839" w:rsidR="000B2F3A" w:rsidRPr="004B35E1" w:rsidRDefault="007200FC" w:rsidP="000B2F3A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4B35E1">
              <w:rPr>
                <w:rFonts w:ascii="Arial" w:hAnsi="Arial" w:cs="Arial"/>
                <w:sz w:val="15"/>
                <w:szCs w:val="15"/>
              </w:rPr>
              <w:t>Ocupado</w:t>
            </w:r>
            <w:r w:rsidR="000B2F3A" w:rsidRPr="004B35E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0B2F3A" w:rsidRPr="00260071" w14:paraId="51FC6EE3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7C17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Vigilante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4F0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979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3F78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CBD7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A80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870B5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998B249" w14:textId="1CFC3CDF" w:rsidR="000B2F3A" w:rsidRPr="004B35E1" w:rsidRDefault="00C44CE9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B35E1">
              <w:rPr>
                <w:rFonts w:ascii="Arial" w:hAnsi="Arial" w:cs="Arial"/>
                <w:sz w:val="15"/>
                <w:szCs w:val="15"/>
              </w:rPr>
              <w:t xml:space="preserve">Laboral </w:t>
            </w:r>
            <w:r w:rsidR="00A04D38" w:rsidRPr="004B35E1">
              <w:rPr>
                <w:rFonts w:ascii="Arial" w:hAnsi="Arial" w:cs="Arial"/>
                <w:sz w:val="15"/>
                <w:szCs w:val="15"/>
              </w:rPr>
              <w:t>temporal</w:t>
            </w:r>
            <w:r w:rsidRPr="004B35E1">
              <w:rPr>
                <w:rFonts w:ascii="Arial" w:hAnsi="Arial" w:cs="Arial"/>
                <w:sz w:val="15"/>
                <w:szCs w:val="15"/>
              </w:rPr>
              <w:t xml:space="preserve"> - Ocupado</w:t>
            </w:r>
          </w:p>
        </w:tc>
      </w:tr>
      <w:tr w:rsidR="000B2F3A" w:rsidRPr="00260071" w14:paraId="72148298" w14:textId="77777777" w:rsidTr="004439B0">
        <w:trPr>
          <w:trHeight w:val="306"/>
        </w:trPr>
        <w:tc>
          <w:tcPr>
            <w:tcW w:w="100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36E888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SERVICIO DE PLANIFICACIÓN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83A317" w14:textId="77777777" w:rsidR="000B2F3A" w:rsidRPr="00260071" w:rsidRDefault="000B2F3A" w:rsidP="000B2F3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B2F3A" w:rsidRPr="00260071" w14:paraId="495C6750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E7E0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Técnico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A27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9B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17F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B44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Técnico Superior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949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873B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C7BC" w14:textId="7050990E" w:rsidR="000B2F3A" w:rsidRPr="00260071" w:rsidRDefault="00207531" w:rsidP="000B2F3A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60071">
              <w:rPr>
                <w:rFonts w:ascii="Arial" w:hAnsi="Arial" w:cs="Arial"/>
                <w:bCs/>
                <w:sz w:val="15"/>
                <w:szCs w:val="15"/>
              </w:rPr>
              <w:t>Ocupado</w:t>
            </w:r>
          </w:p>
        </w:tc>
      </w:tr>
      <w:tr w:rsidR="000B2F3A" w:rsidRPr="00260071" w14:paraId="6358E7A4" w14:textId="77777777" w:rsidTr="004439B0">
        <w:trPr>
          <w:trHeight w:val="30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571A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>Auxiliar de Gestión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7FD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56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65D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C9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296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6AE2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4A80" w14:textId="77777777" w:rsidR="000B2F3A" w:rsidRPr="004B35E1" w:rsidRDefault="000B2F3A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B35E1">
              <w:rPr>
                <w:rFonts w:ascii="Arial" w:hAnsi="Arial" w:cs="Arial"/>
                <w:sz w:val="15"/>
                <w:szCs w:val="15"/>
              </w:rPr>
              <w:t>Vacante</w:t>
            </w:r>
          </w:p>
        </w:tc>
      </w:tr>
      <w:tr w:rsidR="000B2F3A" w:rsidRPr="00260071" w14:paraId="1425F430" w14:textId="77777777" w:rsidTr="004439B0">
        <w:trPr>
          <w:trHeight w:val="306"/>
        </w:trPr>
        <w:tc>
          <w:tcPr>
            <w:tcW w:w="26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61EE" w14:textId="77777777" w:rsidR="000B2F3A" w:rsidRPr="00260071" w:rsidRDefault="000B2F3A" w:rsidP="000B2F3A">
            <w:pPr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Vigilante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21F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001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5771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2EB" w14:textId="77777777" w:rsidR="000B2F3A" w:rsidRPr="00260071" w:rsidRDefault="000B2F3A" w:rsidP="000B2F3A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0A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i/>
                <w:sz w:val="15"/>
                <w:szCs w:val="15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E912A7E" w14:textId="77777777" w:rsidR="000B2F3A" w:rsidRPr="00260071" w:rsidRDefault="000B2F3A" w:rsidP="000B2F3A">
            <w:pPr>
              <w:jc w:val="center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26007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182A92" w14:textId="616553AF" w:rsidR="000B2F3A" w:rsidRPr="004B35E1" w:rsidRDefault="00C44CE9" w:rsidP="000B2F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B35E1">
              <w:rPr>
                <w:rFonts w:ascii="Arial" w:hAnsi="Arial" w:cs="Arial"/>
                <w:sz w:val="15"/>
                <w:szCs w:val="15"/>
              </w:rPr>
              <w:t xml:space="preserve">Laboral </w:t>
            </w:r>
            <w:r w:rsidR="00A04D38" w:rsidRPr="004B35E1">
              <w:rPr>
                <w:rFonts w:ascii="Arial" w:hAnsi="Arial" w:cs="Arial"/>
                <w:sz w:val="15"/>
                <w:szCs w:val="15"/>
              </w:rPr>
              <w:t>temporal</w:t>
            </w:r>
            <w:r w:rsidRPr="004B35E1">
              <w:rPr>
                <w:rFonts w:ascii="Arial" w:hAnsi="Arial" w:cs="Arial"/>
                <w:sz w:val="15"/>
                <w:szCs w:val="15"/>
              </w:rPr>
              <w:t xml:space="preserve"> - Ocupado</w:t>
            </w:r>
          </w:p>
        </w:tc>
      </w:tr>
    </w:tbl>
    <w:p w14:paraId="4C513B37" w14:textId="77777777" w:rsidR="004552A8" w:rsidRPr="00260071" w:rsidRDefault="004552A8">
      <w:pPr>
        <w:rPr>
          <w:rFonts w:ascii="Arial" w:hAnsi="Arial" w:cs="Arial"/>
          <w:b/>
          <w:sz w:val="15"/>
          <w:szCs w:val="15"/>
        </w:rPr>
      </w:pPr>
    </w:p>
    <w:p w14:paraId="11518CA1" w14:textId="008CAD92" w:rsidR="000B2F3A" w:rsidRPr="00260071" w:rsidRDefault="000B2F3A" w:rsidP="000B2F3A">
      <w:pPr>
        <w:rPr>
          <w:rFonts w:ascii="Arial" w:hAnsi="Arial" w:cs="Arial"/>
          <w:b/>
          <w:sz w:val="15"/>
          <w:szCs w:val="15"/>
        </w:rPr>
      </w:pPr>
    </w:p>
    <w:p w14:paraId="1BEDB4EA" w14:textId="77777777" w:rsid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70327D5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5FF4EDD4" w14:textId="77777777" w:rsidR="00D27197" w:rsidRDefault="00D27197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DBE42D0" w14:textId="482EDBCE" w:rsidR="00260071" w:rsidRPr="00706609" w:rsidRDefault="00260071" w:rsidP="001A11A7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706609">
        <w:rPr>
          <w:rFonts w:ascii="Arial" w:hAnsi="Arial" w:cs="Arial"/>
          <w:b/>
          <w:bCs/>
          <w:sz w:val="15"/>
          <w:szCs w:val="15"/>
        </w:rPr>
        <w:t>(*)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 </w:t>
      </w:r>
      <w:r w:rsidR="00D454EF">
        <w:rPr>
          <w:rFonts w:ascii="Arial" w:hAnsi="Arial" w:cs="Arial"/>
          <w:b/>
          <w:bCs/>
          <w:sz w:val="15"/>
          <w:szCs w:val="15"/>
        </w:rPr>
        <w:t xml:space="preserve">En la estructura de la </w:t>
      </w:r>
      <w:r w:rsidR="00A04D38" w:rsidRPr="00706609">
        <w:rPr>
          <w:rFonts w:ascii="Arial" w:hAnsi="Arial" w:cs="Arial"/>
          <w:b/>
          <w:bCs/>
          <w:sz w:val="15"/>
          <w:szCs w:val="15"/>
        </w:rPr>
        <w:t>RPT actual publicada en el BOP nº 134 del 06/11/2019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, se recogen </w:t>
      </w:r>
      <w:r w:rsidR="004439B0">
        <w:rPr>
          <w:rFonts w:ascii="Arial" w:hAnsi="Arial" w:cs="Arial"/>
          <w:b/>
          <w:bCs/>
          <w:sz w:val="15"/>
          <w:szCs w:val="15"/>
        </w:rPr>
        <w:t>2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 puestos de vigilante en el Servicio de Recursos Hidráulicos. </w:t>
      </w:r>
      <w:r w:rsidR="004439B0">
        <w:rPr>
          <w:rFonts w:ascii="Arial" w:hAnsi="Arial" w:cs="Arial"/>
          <w:b/>
          <w:bCs/>
          <w:sz w:val="15"/>
          <w:szCs w:val="15"/>
        </w:rPr>
        <w:t>Uno de esos puestos</w:t>
      </w:r>
      <w:r w:rsidR="00A04D38">
        <w:rPr>
          <w:rFonts w:ascii="Arial" w:hAnsi="Arial" w:cs="Arial"/>
          <w:b/>
          <w:bCs/>
          <w:sz w:val="15"/>
          <w:szCs w:val="15"/>
        </w:rPr>
        <w:t xml:space="preserve"> estaba afectado por el Plan de promoción interna restringida para la reclasificación 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de la plaza de vigilante del Consejo Insular de Aguas de Fuerteventura. Una vez superado el procedimiento de promoción interna por el empleado que ocupaba el puesto </w:t>
      </w:r>
      <w:r w:rsidR="004439B0">
        <w:rPr>
          <w:rFonts w:ascii="Arial" w:hAnsi="Arial" w:cs="Arial"/>
          <w:b/>
          <w:bCs/>
          <w:sz w:val="15"/>
          <w:szCs w:val="15"/>
        </w:rPr>
        <w:t xml:space="preserve">correspondiente al </w:t>
      </w:r>
      <w:r w:rsidR="007200FC">
        <w:rPr>
          <w:rFonts w:ascii="Arial" w:hAnsi="Arial" w:cs="Arial"/>
          <w:b/>
          <w:bCs/>
          <w:sz w:val="15"/>
          <w:szCs w:val="15"/>
        </w:rPr>
        <w:t xml:space="preserve">grupo E, se incorpora al puesto </w:t>
      </w:r>
      <w:r w:rsidR="004439B0">
        <w:rPr>
          <w:rFonts w:ascii="Arial" w:hAnsi="Arial" w:cs="Arial"/>
          <w:b/>
          <w:bCs/>
          <w:sz w:val="15"/>
          <w:szCs w:val="15"/>
        </w:rPr>
        <w:t xml:space="preserve">del </w:t>
      </w:r>
      <w:r w:rsidR="007200FC">
        <w:rPr>
          <w:rFonts w:ascii="Arial" w:hAnsi="Arial" w:cs="Arial"/>
          <w:b/>
          <w:bCs/>
          <w:sz w:val="15"/>
          <w:szCs w:val="15"/>
        </w:rPr>
        <w:t>grupo C2, desapareciendo así el grupo E de vigilante en el Servicio de Recursos Hidráulicos.</w:t>
      </w:r>
    </w:p>
    <w:p w14:paraId="7779C201" w14:textId="77777777" w:rsidR="00706609" w:rsidRPr="00706609" w:rsidRDefault="00706609" w:rsidP="00260071">
      <w:pPr>
        <w:rPr>
          <w:rFonts w:ascii="Arial" w:hAnsi="Arial" w:cs="Arial"/>
          <w:b/>
          <w:bCs/>
          <w:sz w:val="15"/>
          <w:szCs w:val="15"/>
        </w:rPr>
      </w:pPr>
    </w:p>
    <w:p w14:paraId="26A2A064" w14:textId="79E4F2F0" w:rsidR="000B2F3A" w:rsidRPr="00706609" w:rsidRDefault="00260071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  <w:r w:rsidRPr="00706609">
        <w:rPr>
          <w:rFonts w:ascii="Arial" w:hAnsi="Arial" w:cs="Arial"/>
          <w:b/>
          <w:bCs/>
          <w:sz w:val="15"/>
          <w:szCs w:val="15"/>
        </w:rPr>
        <w:t xml:space="preserve">(**) En la estructura de la RPT actual publicada en el BOP nº 134 del 06/11/2019, </w:t>
      </w:r>
      <w:r w:rsidR="00B25FD2">
        <w:rPr>
          <w:rFonts w:ascii="Arial" w:hAnsi="Arial" w:cs="Arial"/>
          <w:b/>
          <w:bCs/>
          <w:sz w:val="15"/>
          <w:szCs w:val="15"/>
        </w:rPr>
        <w:t>se recoge</w:t>
      </w:r>
      <w:r w:rsidRPr="00706609">
        <w:rPr>
          <w:rFonts w:ascii="Arial" w:hAnsi="Arial" w:cs="Arial"/>
          <w:b/>
          <w:bCs/>
          <w:sz w:val="15"/>
          <w:szCs w:val="15"/>
        </w:rPr>
        <w:t>n 5 puestos de Administrativo de Gestión y 3 puestos de Auxiliar de Gestión</w:t>
      </w:r>
      <w:r w:rsidR="00B25FD2">
        <w:rPr>
          <w:rFonts w:ascii="Arial" w:hAnsi="Arial" w:cs="Arial"/>
          <w:b/>
          <w:bCs/>
          <w:sz w:val="15"/>
          <w:szCs w:val="15"/>
        </w:rPr>
        <w:t xml:space="preserve"> en el Servicio de Administración y Secretaría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.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D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ichos puestos de Auxiliar de Gestión estaban afectados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>por el Plan</w:t>
      </w:r>
      <w:r w:rsidRPr="00706609">
        <w:rPr>
          <w:rFonts w:ascii="Arial" w:hAnsi="Arial" w:cs="Arial"/>
          <w:b/>
          <w:bCs/>
          <w:sz w:val="15"/>
          <w:szCs w:val="15"/>
        </w:rPr>
        <w:t xml:space="preserve"> de promoción interna restringida </w:t>
      </w:r>
      <w:r w:rsidR="00FC6BEE" w:rsidRPr="00706609">
        <w:rPr>
          <w:rFonts w:ascii="Arial" w:hAnsi="Arial" w:cs="Arial"/>
          <w:b/>
          <w:bCs/>
          <w:sz w:val="15"/>
          <w:szCs w:val="15"/>
        </w:rPr>
        <w:t xml:space="preserve">del personal Auxiliar Administrativo C2 a Administrativo recogido en el expediente de “Modificación de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la vigente relación de puestos de trabajo del Organismo Autónomo Consejo Insular De Aguas De Fuerteventura” aprobado por la Junta General de este Organismo en sesión Extraordinaria de fecha 18/01/2019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. U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na vez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superado el procedimiento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promoción interna por los empleados que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lastRenderedPageBreak/>
        <w:t xml:space="preserve">ocupaban los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 xml:space="preserve">tres 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puestos de Auxiliar de Gestión, se incorporan 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>a</w:t>
      </w:r>
      <w:r w:rsidR="00FC6BEE" w:rsidRPr="00706609">
        <w:rPr>
          <w:rFonts w:ascii="Arial" w:hAnsi="Arial" w:cs="Arial"/>
          <w:b/>
          <w:bCs/>
          <w:sz w:val="15"/>
          <w:szCs w:val="15"/>
          <w:lang w:val="es-ES"/>
        </w:rPr>
        <w:t>l puesto de Administrativo de Gestión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, desapareciendo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así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</w:t>
      </w:r>
      <w:r w:rsidR="009F57D0">
        <w:rPr>
          <w:rFonts w:ascii="Arial" w:hAnsi="Arial" w:cs="Arial"/>
          <w:b/>
          <w:bCs/>
          <w:sz w:val="15"/>
          <w:szCs w:val="15"/>
          <w:lang w:val="es-ES"/>
        </w:rPr>
        <w:t>el grupo C2</w:t>
      </w:r>
      <w:r w:rsidR="002B1FD6" w:rsidRPr="00706609">
        <w:rPr>
          <w:rFonts w:ascii="Arial" w:hAnsi="Arial" w:cs="Arial"/>
          <w:b/>
          <w:bCs/>
          <w:sz w:val="15"/>
          <w:szCs w:val="15"/>
          <w:lang w:val="es-ES"/>
        </w:rPr>
        <w:t xml:space="preserve"> de Auxiliar de Gestión </w:t>
      </w:r>
      <w:r w:rsidR="00BA6F06" w:rsidRPr="00706609">
        <w:rPr>
          <w:rFonts w:ascii="Arial" w:hAnsi="Arial" w:cs="Arial"/>
          <w:b/>
          <w:bCs/>
          <w:sz w:val="15"/>
          <w:szCs w:val="15"/>
          <w:lang w:val="es-ES"/>
        </w:rPr>
        <w:t>en el Servicio de Administración y Secretaría.</w:t>
      </w:r>
    </w:p>
    <w:p w14:paraId="5415C459" w14:textId="621A7A93" w:rsidR="00706609" w:rsidRDefault="00706609" w:rsidP="002B1FD6">
      <w:pPr>
        <w:jc w:val="both"/>
        <w:rPr>
          <w:rFonts w:ascii="Arial" w:hAnsi="Arial" w:cs="Arial"/>
          <w:b/>
          <w:bCs/>
          <w:sz w:val="15"/>
          <w:szCs w:val="15"/>
          <w:lang w:val="es-ES"/>
        </w:rPr>
      </w:pPr>
    </w:p>
    <w:p w14:paraId="2CDD36FD" w14:textId="77777777" w:rsidR="00706609" w:rsidRPr="002B1FD6" w:rsidRDefault="00706609" w:rsidP="002B1FD6">
      <w:pPr>
        <w:jc w:val="both"/>
        <w:rPr>
          <w:rFonts w:ascii="Arial" w:hAnsi="Arial" w:cs="Arial"/>
          <w:b/>
          <w:bCs/>
          <w:sz w:val="15"/>
          <w:szCs w:val="15"/>
        </w:rPr>
      </w:pPr>
    </w:p>
    <w:p w14:paraId="1427D1E6" w14:textId="37685B62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 xml:space="preserve">Fecha actualización: </w:t>
      </w:r>
      <w:r w:rsidR="00F57202">
        <w:rPr>
          <w:rFonts w:ascii="Arial" w:hAnsi="Arial" w:cs="Arial"/>
          <w:bCs/>
          <w:sz w:val="15"/>
          <w:szCs w:val="15"/>
        </w:rPr>
        <w:t>21/07/2023</w:t>
      </w:r>
    </w:p>
    <w:p w14:paraId="02BFD9CE" w14:textId="5A010E54" w:rsidR="000B2F3A" w:rsidRPr="00260071" w:rsidRDefault="000B2F3A" w:rsidP="000B2F3A">
      <w:pPr>
        <w:rPr>
          <w:rFonts w:ascii="Arial" w:hAnsi="Arial" w:cs="Arial"/>
          <w:bCs/>
          <w:sz w:val="15"/>
          <w:szCs w:val="15"/>
        </w:rPr>
      </w:pPr>
      <w:r w:rsidRPr="00260071">
        <w:rPr>
          <w:rFonts w:ascii="Arial" w:hAnsi="Arial" w:cs="Arial"/>
          <w:b/>
          <w:sz w:val="15"/>
          <w:szCs w:val="15"/>
        </w:rPr>
        <w:t>Referencia normativa:</w:t>
      </w:r>
      <w:r w:rsidRPr="00260071">
        <w:rPr>
          <w:rFonts w:ascii="Arial" w:hAnsi="Arial" w:cs="Arial"/>
          <w:bCs/>
          <w:sz w:val="15"/>
          <w:szCs w:val="15"/>
        </w:rPr>
        <w:t xml:space="preserve"> artículo 20.1 de la Ley 12/2014, de 26 de diciembre, de transparencia y de acceso a la información pública de la Comunidad Autónoma de Canarias</w:t>
      </w:r>
    </w:p>
    <w:sectPr w:rsidR="000B2F3A" w:rsidRPr="00260071" w:rsidSect="00D27197">
      <w:headerReference w:type="default" r:id="rId6"/>
      <w:pgSz w:w="16838" w:h="11906" w:orient="landscape"/>
      <w:pgMar w:top="1701" w:right="283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FFED" w14:textId="77777777" w:rsidR="008D664B" w:rsidRDefault="008D664B" w:rsidP="000B2F3A">
      <w:r>
        <w:separator/>
      </w:r>
    </w:p>
  </w:endnote>
  <w:endnote w:type="continuationSeparator" w:id="0">
    <w:p w14:paraId="18E6E1CE" w14:textId="77777777" w:rsidR="008D664B" w:rsidRDefault="008D664B" w:rsidP="000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EDD5" w14:textId="77777777" w:rsidR="008D664B" w:rsidRDefault="008D664B" w:rsidP="000B2F3A">
      <w:r>
        <w:separator/>
      </w:r>
    </w:p>
  </w:footnote>
  <w:footnote w:type="continuationSeparator" w:id="0">
    <w:p w14:paraId="5D52E536" w14:textId="77777777" w:rsidR="008D664B" w:rsidRDefault="008D664B" w:rsidP="000B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8D2B" w14:textId="246DB855" w:rsidR="000B2F3A" w:rsidRDefault="000B2F3A">
    <w:pPr>
      <w:pStyle w:val="Encabezado"/>
    </w:pPr>
    <w:r>
      <w:rPr>
        <w:noProof/>
      </w:rPr>
      <w:drawing>
        <wp:inline distT="0" distB="0" distL="0" distR="0" wp14:anchorId="4CCB857C" wp14:editId="48603C62">
          <wp:extent cx="723900" cy="6311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3" cy="64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9"/>
    <w:rsid w:val="000B2F3A"/>
    <w:rsid w:val="00105BA9"/>
    <w:rsid w:val="001835F3"/>
    <w:rsid w:val="001A11A7"/>
    <w:rsid w:val="001F1EA5"/>
    <w:rsid w:val="00207531"/>
    <w:rsid w:val="00260071"/>
    <w:rsid w:val="002958CA"/>
    <w:rsid w:val="002A7F9D"/>
    <w:rsid w:val="002B1FD6"/>
    <w:rsid w:val="00356815"/>
    <w:rsid w:val="003F0536"/>
    <w:rsid w:val="004439B0"/>
    <w:rsid w:val="004552A8"/>
    <w:rsid w:val="004B35E1"/>
    <w:rsid w:val="0061521D"/>
    <w:rsid w:val="00615BA4"/>
    <w:rsid w:val="00706609"/>
    <w:rsid w:val="007200FC"/>
    <w:rsid w:val="0074663C"/>
    <w:rsid w:val="007C19F0"/>
    <w:rsid w:val="008D664B"/>
    <w:rsid w:val="00912A37"/>
    <w:rsid w:val="009A51E8"/>
    <w:rsid w:val="009F57D0"/>
    <w:rsid w:val="00A04D38"/>
    <w:rsid w:val="00A75742"/>
    <w:rsid w:val="00AF6107"/>
    <w:rsid w:val="00B07EEA"/>
    <w:rsid w:val="00B25FD2"/>
    <w:rsid w:val="00BA6F06"/>
    <w:rsid w:val="00C44CE9"/>
    <w:rsid w:val="00C94FE4"/>
    <w:rsid w:val="00CD38F3"/>
    <w:rsid w:val="00D27197"/>
    <w:rsid w:val="00D454EF"/>
    <w:rsid w:val="00E81AE9"/>
    <w:rsid w:val="00F57202"/>
    <w:rsid w:val="00FA3ECE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BF87"/>
  <w15:chartTrackingRefBased/>
  <w15:docId w15:val="{1DF768B9-74BE-4D0E-B05F-7E5A04A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3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18</cp:revision>
  <dcterms:created xsi:type="dcterms:W3CDTF">2019-05-24T13:36:00Z</dcterms:created>
  <dcterms:modified xsi:type="dcterms:W3CDTF">2023-07-21T12:50:00Z</dcterms:modified>
</cp:coreProperties>
</file>